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附表2：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投 标 申 请 表</w:t>
      </w: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FF0000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1"/>
          <w:highlight w:val="none"/>
        </w:rPr>
        <w:t>招标编号</w:t>
      </w:r>
      <w:r>
        <w:rPr>
          <w:rFonts w:hint="eastAsia" w:ascii="仿宋_GB2312" w:hAnsi="仿宋_GB2312" w:eastAsia="仿宋_GB2312" w:cs="仿宋_GB2312"/>
          <w:bCs/>
          <w:color w:val="000000"/>
          <w:szCs w:val="21"/>
          <w:highlight w:val="none"/>
          <w:lang w:eastAsia="zh-CN"/>
        </w:rPr>
        <w:t>GYL/XJ/2024/005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3033"/>
        <w:gridCol w:w="1701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投标人单位名称</w:t>
            </w:r>
          </w:p>
        </w:tc>
        <w:tc>
          <w:tcPr>
            <w:tcW w:w="7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（填写单位名称）            （盖单位公章）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left="690" w:hanging="660" w:hangingChars="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购买招标文件</w:t>
            </w:r>
          </w:p>
          <w:p>
            <w:pPr>
              <w:wordWrap w:val="0"/>
              <w:ind w:left="660" w:leftChars="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物资名称 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 件 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 系 人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手    机  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办公电话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办公传真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     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邮寄地址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声明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招标文件为我公司自愿购买，如我公司资格条件不符合本项目投标人资格要求，相关责任由我公司自行承担。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购买人签字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</w:p>
          <w:p>
            <w:pPr>
              <w:wordWrap w:val="0"/>
              <w:ind w:firstLine="440" w:firstLineChars="20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   注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说明：此表购买招标文件申请人需按招标人、物资品种分别填写；同一招标人、同一物资品种可填写一份。             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4"/>
        <w:spacing w:before="120" w:after="120" w:line="400" w:lineRule="exact"/>
        <w:jc w:val="center"/>
        <w:rPr>
          <w:rFonts w:hint="eastAsia" w:ascii="仿宋_GB2312" w:hAnsi="仿宋_GB2312" w:eastAsia="仿宋_GB2312" w:cs="仿宋_GB2312"/>
          <w:b/>
          <w:color w:val="auto"/>
        </w:rPr>
      </w:pPr>
      <w:bookmarkStart w:id="0" w:name="_Toc152042303"/>
      <w:bookmarkStart w:id="1" w:name="_Toc381397070"/>
      <w:bookmarkStart w:id="2" w:name="_Toc17870"/>
      <w:bookmarkStart w:id="3" w:name="_Toc7131"/>
      <w:bookmarkStart w:id="4" w:name="_Toc9694"/>
      <w:bookmarkStart w:id="5" w:name="_Toc152045527"/>
      <w:bookmarkStart w:id="6" w:name="_Toc440899103"/>
      <w:bookmarkStart w:id="7" w:name="_Toc440315000"/>
      <w:bookmarkStart w:id="8" w:name="_Toc144974495"/>
      <w:bookmarkStart w:id="9" w:name="_Toc440315395"/>
      <w:bookmarkStart w:id="10" w:name="_Toc238552193"/>
      <w:bookmarkStart w:id="11" w:name="_Toc238797548"/>
      <w:bookmarkStart w:id="12" w:name="_Toc6006"/>
      <w:bookmarkStart w:id="13" w:name="_Toc26228"/>
      <w:r>
        <w:rPr>
          <w:rFonts w:hint="eastAsia" w:ascii="仿宋_GB2312" w:hAnsi="仿宋_GB2312" w:eastAsia="仿宋_GB2312" w:cs="仿宋_GB2312"/>
          <w:b/>
          <w:color w:val="auto"/>
        </w:rPr>
        <w:t>投标人须知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10"/>
        <w:rPr>
          <w:rFonts w:hint="eastAsia" w:ascii="仿宋_GB2312" w:hAnsi="仿宋_GB2312" w:eastAsia="仿宋_GB2312" w:cs="仿宋_GB2312"/>
          <w:b/>
          <w:color w:val="auto"/>
        </w:rPr>
      </w:pPr>
      <w:bookmarkStart w:id="14" w:name="_Toc381397071"/>
      <w:bookmarkStart w:id="15" w:name="_Toc440315001"/>
      <w:bookmarkStart w:id="16" w:name="_Toc152042304"/>
      <w:bookmarkStart w:id="17" w:name="_Toc144974496"/>
      <w:bookmarkStart w:id="18" w:name="_Toc3581"/>
      <w:bookmarkStart w:id="19" w:name="_Toc9409"/>
      <w:bookmarkStart w:id="20" w:name="_Toc440315396"/>
      <w:bookmarkStart w:id="21" w:name="_Toc30551"/>
      <w:bookmarkStart w:id="22" w:name="_Toc14059"/>
      <w:bookmarkStart w:id="23" w:name="_Toc23885"/>
      <w:bookmarkStart w:id="24" w:name="_Toc152045528"/>
      <w:bookmarkStart w:id="25" w:name="_Toc440899104"/>
      <w:bookmarkStart w:id="26" w:name="_Toc19723"/>
      <w:bookmarkStart w:id="27" w:name="_Toc238552194"/>
      <w:bookmarkStart w:id="28" w:name="_Toc238797549"/>
      <w:r>
        <w:rPr>
          <w:rFonts w:hint="eastAsia" w:ascii="仿宋_GB2312" w:hAnsi="仿宋_GB2312" w:eastAsia="仿宋_GB2312" w:cs="仿宋_GB2312"/>
          <w:b/>
          <w:color w:val="auto"/>
        </w:rPr>
        <w:t>投标人须知前附表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Style w:val="8"/>
        <w:tblW w:w="88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022"/>
        <w:gridCol w:w="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条款号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条  款  名  称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  列  内 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招标计划批准文件及文号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GYL/XJ/2024/005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招标编号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GYL/XJ/2024/005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招标人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甘孜州天路供应链管理有限公司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招标代理机构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S572丹巴县布科至章谷段改建工程项目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招标内容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钢筋物资，</w:t>
            </w:r>
            <w:r>
              <w:rPr>
                <w:rFonts w:hint="eastAsia" w:ascii="仿宋_GB2312" w:hAnsi="仿宋_GB2312" w:eastAsia="仿宋_GB2312" w:cs="仿宋_GB2312"/>
              </w:rPr>
              <w:t>详见第五章物资需求一览表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投标人应具备承担本招标物资生产供应能力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见招标公告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是否接受联合体投标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opLinePunct/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 xml:space="preserve"> 不接受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接受，应满足下列要求：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投标预备会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opLinePunct/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 xml:space="preserve"> 不召开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召开，召开时间：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召开地点：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投标人提出问题的截止时间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8月14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日1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招标人澄清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截止时间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8月16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日1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 xml:space="preserve">时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文件发送方式：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发送至各投标人电子邮箱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偏离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opLinePunct/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  <w:t xml:space="preserve"> 不允许</w:t>
            </w:r>
          </w:p>
          <w:p>
            <w:pPr>
              <w:pStyle w:val="6"/>
              <w:topLinePunct/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  <w:t>允许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构成招标文件的其他材料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招标人所公布的通知、答疑和补遗等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投标人要求澄清招标文件的截止时间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8月16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日1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投标截止时间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8月20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日1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投标人确认收到招标文件澄清的时间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8月16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日1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时前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投标人确认收到招标文件修改的时间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8月16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日1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highlight w:val="none"/>
                <w:u w:val="single"/>
              </w:rPr>
              <w:t>时前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构成投标文件的其他材料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1．拟投入本项目的主要制造设备、检验设备表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2．投标人须提供投标物资运达施工现场后的保护措施和要求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3．承诺招标文件关于评标价评定和合同价确定的方式。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其他资料为投标人认为需要补充的资料（如有）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投标有效期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投标有效期：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120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投标保证金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投标保证金的形式：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银行电汇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投标保证金必须从投标人基本账户汇出，否则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按照废标处理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2.投标保证金的金额：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见招标公告附件一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3.投标保证金汇入招标人指定账户，账户详细信息: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户    名: </w:t>
            </w: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  <w:u w:val="single"/>
                <w:lang w:eastAsia="zh-CN"/>
              </w:rPr>
              <w:t>甘孜州天路供应链管理有限公司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开户银行: </w:t>
            </w: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  <w:u w:val="single"/>
              </w:rPr>
              <w:t>中国农业银行股份有限公司康定市支行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银行帐号: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single"/>
              </w:rPr>
              <w:t>22575101040038243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注意事项：1、投标人在缴纳投标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保证金时，请务必认真、准确填写相应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招标编号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2、用银行电汇方式交投标保证金的投标人在开标时出具银行电汇凭证。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3、投标保证金退还联系方式：（联系人：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尚金金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18383630960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近年财务状况的年份要求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详见招标公告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近年同类物资供货业绩表（新产品除外）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的年份要求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详见招标公告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23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新产品应提供的技术合格证明文件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省、部级及以上技术鉴定部门出具的成果评审意见或鉴定证书（至少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近年发生的诉讼及仲裁情况的年份要求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详见招标公告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其他资格内容要求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详见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需要补充的其他内容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签字或盖章要求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法定代表人或其委托代理人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按招标文件规定的投标文件格式中应该签字、盖章的地方签字并盖单位公章。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投标文件副本份数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8"/>
                <w:lang w:val="en-US" w:eastAsia="zh-CN"/>
              </w:rPr>
              <w:t>纸质版投标文件：正本1份，副本1份。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8"/>
                <w:lang w:val="en-US" w:eastAsia="zh-CN"/>
              </w:rPr>
              <w:t>电子版投标文件1 份拷贝于U盘内，扫描投标文件正本PDF版，电子版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8"/>
              </w:rPr>
              <w:t>应与投标文件正本内容一致。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28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装订要求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纸质版正副本需分别胶装成册；电子版投标文件1 份，扫描成PDF，命名”投标公司名称+项目简称+物资名称+招标编号“拷贝于U盘内。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密封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要求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用档案袋密封好，加盖密封章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或公章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，档案袋封皮上标注基本信息，以便识别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递交投标文件地点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val="en-US" w:eastAsia="zh-CN"/>
              </w:rPr>
              <w:t>投递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8"/>
                <w:lang w:val="en-US" w:eastAsia="zh-CN"/>
              </w:rPr>
              <w:t>2024年8月20日17时前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val="en-US" w:eastAsia="zh-CN"/>
              </w:rPr>
              <w:t>递交地点：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>四川省甘孜藏族自治州康定市榆林街道榆磨路60号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31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是否退还投标文件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√ 否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□是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32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开标时间和地点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yellow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开标时间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8"/>
                <w:lang w:val="en-US" w:eastAsia="zh-CN"/>
              </w:rPr>
              <w:t>2024年8月20日17时00分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开标地点：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>四川省甘孜藏族自治州康定市榆林街道榆磨路60号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>州交城投集团办公楼五楼A506号会议室（如有变动另行通知）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33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开标程序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76" w:firstLineChars="17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）宣布开标纪律；（2）宣布开标人、唱标人、记录人、监标人等有关信息；（3）投标人代表、监督人按照投标人须知前附表规定检查投标文件的密封情况；（4）本次招标开标顺序按照投标人递交投标文件的倒序进行；（5）按照宣布的开标顺序当众开标，公布投标人名称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招标编号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、投标保证金的递交情况、投标报价及其他内容，并记录在案；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6）按评标办法前附表公布拟进入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二次谈判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的投标人参与二次谈判报价；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7）按评标办法前附表公布二次谈判报价及推荐中标候选人；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）投标人代表、招标人代表、监标人、记录人等有关人员在开标记录上签字确认；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）开标结束。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34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是否授权评标委员会确定中标人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否，推荐的中标候选人数：1-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履约担保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2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1.履约担保的形式：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履约保证金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/履约保函/第一次结算货款抵扣（首次结算不够抵扣的差额延续下期结算抵扣，直至抵扣完伍万元）</w:t>
            </w:r>
          </w:p>
          <w:p>
            <w:pPr>
              <w:adjustRightInd w:val="0"/>
              <w:spacing w:line="440" w:lineRule="exact"/>
              <w:ind w:firstLine="22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2.履约担保的金额：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万元整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0000元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）。履约保函出具给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single"/>
                <w:lang w:eastAsia="zh-CN"/>
              </w:rPr>
              <w:t>甘孜州天路供应链管理有限公司</w:t>
            </w:r>
          </w:p>
          <w:p>
            <w:pPr>
              <w:adjustRightInd w:val="0"/>
              <w:spacing w:line="440" w:lineRule="exact"/>
              <w:ind w:firstLine="220" w:firstLineChars="100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 履约保函要求：保函开具银行应为国有五大银行（中行、建行、工商、农业、交通银行）或国内上市股份制银行；投标人应在投标文件中提供保函开具银行联系方式以备招标人核查；投标人应在投标文件中明确承诺：如出具虚假保函，其无条件同意招标人将其按废标处理，并将其出具虚假材料行为上报建设单位及中国铁路总公司，列入物资供应商不良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36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招</w:t>
            </w:r>
            <w:bookmarkStart w:id="29" w:name="_GoBack"/>
            <w:bookmarkEnd w:id="29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标服务费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20" w:firstLineChars="100"/>
              <w:textAlignment w:val="baseline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招标服务费由中标单位在签订合同前提供，本次招标服务费为：4500元（大写：肆仟伍佰元），</w:t>
            </w:r>
            <w:r>
              <w:rPr>
                <w:rFonts w:hint="eastAsia"/>
                <w:highlight w:val="yellow"/>
                <w:lang w:val="en-US" w:eastAsia="zh-CN"/>
              </w:rPr>
              <w:t>可提供6%专票。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收取招标服务费账户信息：</w:t>
            </w:r>
          </w:p>
          <w:p>
            <w:pPr>
              <w:rPr>
                <w:rFonts w:hint="eastAsia" w:ascii="仿宋_GB2312" w:hAnsi="仿宋_GB2312" w:eastAsia="仿宋_GB2312" w:cs="仿宋_GB231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highlight w:val="yellow"/>
              </w:rPr>
              <w:t xml:space="preserve">户    名: </w:t>
            </w:r>
            <w:r>
              <w:rPr>
                <w:rFonts w:hint="eastAsia" w:ascii="仿宋_GB2312" w:hAnsi="仿宋_GB2312" w:eastAsia="仿宋_GB2312" w:cs="仿宋_GB2312"/>
                <w:b/>
                <w:bCs/>
                <w:highlight w:val="yellow"/>
                <w:u w:val="single"/>
                <w:lang w:eastAsia="zh-CN"/>
              </w:rPr>
              <w:t>甘孜州天路数字传媒有限公司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highlight w:val="yellow"/>
              </w:rPr>
              <w:t xml:space="preserve">开户银行: </w:t>
            </w:r>
            <w:r>
              <w:rPr>
                <w:rFonts w:hint="eastAsia" w:ascii="仿宋_GB2312" w:hAnsi="仿宋_GB2312" w:eastAsia="仿宋_GB2312" w:cs="仿宋_GB2312"/>
                <w:b/>
                <w:bCs/>
                <w:highlight w:val="yellow"/>
                <w:u w:val="single"/>
              </w:rPr>
              <w:t>中国农业银行股份有限公司甘孜分行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yellow"/>
              </w:rPr>
              <w:t>银行帐号:</w:t>
            </w:r>
            <w:r>
              <w:rPr>
                <w:rFonts w:hint="eastAsia" w:ascii="仿宋_GB2312" w:hAnsi="仿宋_GB2312" w:eastAsia="仿宋_GB2312" w:cs="仿宋_GB2312"/>
                <w:highlight w:val="yellow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single"/>
              </w:rPr>
              <w:t>22571001040014018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需要补充的其他内容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37</w:t>
            </w:r>
          </w:p>
        </w:tc>
        <w:tc>
          <w:tcPr>
            <w:tcW w:w="7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澄清修改文件解释顺序：对招标文件两次以上的澄清、修改如有不一致之处，以日期在后的澄清或补遗为准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38</w:t>
            </w:r>
          </w:p>
        </w:tc>
        <w:tc>
          <w:tcPr>
            <w:tcW w:w="7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</w:rPr>
              <w:t>招标物资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结算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与付款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方式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</w:rPr>
              <w:t>1.钢筋结算方式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</w:rPr>
              <w:t>（1）结算方式：实行网价+浮动费用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  <w:lang w:val="en-US" w:eastAsia="zh-CN"/>
              </w:rPr>
              <w:t>X）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</w:rPr>
              <w:t>结算模式。浮动费用包含运杂费、税费、利润、保险等费用，浮动费用在供货期内为固定价不作调整。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</w:rPr>
              <w:t>（2）供应期：每月21日至次月20日为一个供应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  <w:lang w:val="en-US" w:eastAsia="zh-CN"/>
              </w:rPr>
              <w:t>结算周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</w:rPr>
              <w:t>期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  <w:lang w:val="en-US" w:eastAsia="zh-CN"/>
              </w:rPr>
              <w:t>本项目工期预计2年，供货期以第一次送货开始至本项目竣工验收之日止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</w:rPr>
              <w:t>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</w:rPr>
              <w:t>（3）基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准价期为：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（1）本次招标钢筋结算价格实行浮动价结算。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（2）结算方式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含税）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</w:rPr>
              <w:t>网价+浮动费用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  <w:highlight w:val="none"/>
                <w:lang w:val="en-US" w:eastAsia="zh-CN"/>
              </w:rPr>
              <w:t>X），税率13%。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（3）投标单价与结算单价关系的重点说明：</w:t>
            </w:r>
          </w:p>
          <w:p>
            <w:pPr>
              <w:spacing w:line="360" w:lineRule="auto"/>
              <w:ind w:firstLine="660" w:firstLineChars="3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1.虚拟单价：为便于计算总报价，招标人统一设定出厂虚拟单价为含税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4294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元/吨，虚拟单价仅作为投标报价表合计总价的计算依据，不作为将来中标后的合同结算依据。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2.X值：是指投标人根据网价，核定除网价外的出库费、综合运杂费、投标人让利等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为完成物资交付的全部费用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。X值可以为正值、可以为0、也可以为负值，在合同履约过程中固定不变。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.网价取值方式为：基准价按照到货当日“我的钢铁网”（http://www.mysteel.com/）中成都市场建筑钢材“威钢”品牌相应规格钢材的价格执行；若在到货当日发生多次价格浮动，以最早更新的价格为准；若到货当日无网价，则以到货前最近一日内最早更新的网价为准；若到货当日更新有2个及以上的单价，则以最早更新的单价为准。综合费用包含产品装吊、捆扎、运输、中转、仓储等到达交货地点前的所有运杂费、保险费、出库费、利润等一切费用，综合费用在合同履约过程中固定不变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3.1若《我的钢铁网》公布的取值当日网上价格信息无相应规格数据，则取最接近的小规格的价格，若无小规格的价格，则取最接近的大规格的价格。若取值当日为周末或国家法定节假日，则取放假前最后一天公布的价格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3.2若网价未公布光圆钢筋价格的，则按照同规格型号HRB400E螺纹钢的价格进行取值。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选取《我的钢铁网》（www.mysteel.com）价格时，不考虑备注栏中公布的价格。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  <w:t>2.付款方式：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先货后款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货款分期支付。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结算并完成开票后，甲方收到合格发票之日起2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个月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支付结算货款的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0%。质量保证金的支付并不免除乙方对交付货物质量的保证责任。 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支付方式选择：银行转账、信用证或供应链金融（包括但不限于商业承兑汇票、银行承兑汇票、建行E信通、航信、中铁E信等）等形式付款。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额外的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贴息及平台手续费由卖方承担。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39</w:t>
            </w:r>
          </w:p>
        </w:tc>
        <w:tc>
          <w:tcPr>
            <w:tcW w:w="7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1．单价取小数点后两位，第三位四舍五入；合价和投标总价取整。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2．成本分析表应真实详列材料的采购价格。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40</w:t>
            </w:r>
          </w:p>
        </w:tc>
        <w:tc>
          <w:tcPr>
            <w:tcW w:w="7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评标结束后向招标人与中标人签订合同后5日内，向中标人和其他未出现3.4.4款情况的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中标人退还投标保证金。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7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按规定重新招标投标人仍少于三个，按照国家有关规定，报项目审批、核准部门审批、核准后可以不再进行招标。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</w:t>
            </w:r>
          </w:p>
        </w:tc>
        <w:tc>
          <w:tcPr>
            <w:tcW w:w="7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 由于道路原因，建议投标人自行到现场踏勘。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 第一次外检费用由投标人承担，以后每次抽检不合格后复检的费用由投标人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3.购买标书费用、投标保证金、履约保证金等招标人仅提供收据，不提供发票。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/>
    <w:sectPr>
      <w:footerReference r:id="rId5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3A0A"/>
    <w:rsid w:val="0506746D"/>
    <w:rsid w:val="0A823A0A"/>
    <w:rsid w:val="4F3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="Calibri Light" w:hAnsi="Calibri Light" w:eastAsia="宋体"/>
      <w:color w:val="2E74B5"/>
      <w:sz w:val="32"/>
      <w:szCs w:val="32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40"/>
      <w:outlineLvl w:val="1"/>
    </w:pPr>
    <w:rPr>
      <w:rFonts w:ascii="Calibri Light" w:hAnsi="Calibri Light" w:eastAsia="宋体"/>
      <w:color w:val="2E74B5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ind w:firstLine="420"/>
    </w:pPr>
    <w:rPr>
      <w:kern w:val="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0"/>
    </w:rPr>
  </w:style>
  <w:style w:type="paragraph" w:styleId="6">
    <w:name w:val="Body Text 3"/>
    <w:basedOn w:val="1"/>
    <w:qFormat/>
    <w:uiPriority w:val="0"/>
    <w:rPr>
      <w:rFonts w:ascii="宋体"/>
      <w:sz w:val="24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0">
    <w:name w:val="样式 标题 2 + Times New Roman 四号 非加粗 段前: 5 磅 段后: 0 磅 行距: 固定值 20..."/>
    <w:basedOn w:val="5"/>
    <w:qFormat/>
    <w:uiPriority w:val="0"/>
    <w:pPr>
      <w:spacing w:before="100" w:line="400" w:lineRule="exact"/>
    </w:pPr>
    <w:rPr>
      <w:rFonts w:ascii="Times New Roman" w:hAnsi="Times New Roman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2024-08-08T01:06:00Z</dcterms:created>
  <dc:creator>Administrator</dc:creator>
  <cp:lastModifiedBy>Administrator</cp:lastModifiedBy>
  <dcterms:modified xsi:type="dcterms:W3CDTF">2024-08-08T03:13:26Z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575D3FDCBBF94CE3BB0E9FCE144C2282</vt:lpwstr>
  </property>
</Properties>
</file>